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b w:val="1"/>
        </w:rPr>
      </w:pPr>
      <w:r w:rsidDel="00000000" w:rsidR="00000000" w:rsidRPr="00000000">
        <w:rPr>
          <w:b w:val="1"/>
          <w:rtl w:val="0"/>
        </w:rPr>
        <w:t xml:space="preserve">MEMORANDUM OF UNDERSTANDING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This MEMORANDUM OF UNDERSTANDING (this “Agreement”) is made between: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Michael Michelini (“MM”)</w:t>
      </w:r>
      <w:r w:rsidDel="00000000" w:rsidR="00000000" w:rsidRPr="00000000">
        <w:rPr>
          <w:rtl w:val="0"/>
        </w:rPr>
        <w:t xml:space="preserve">, a natural person from </w:t>
      </w:r>
      <w:r w:rsidDel="00000000" w:rsidR="00000000" w:rsidRPr="00000000">
        <w:rPr>
          <w:u w:val="single"/>
          <w:rtl w:val="0"/>
        </w:rPr>
        <w:t xml:space="preserve">USA, passport# 4          </w:t>
      </w:r>
      <w:r w:rsidDel="00000000" w:rsidR="00000000" w:rsidRPr="00000000">
        <w:rPr>
          <w:rtl w:val="0"/>
        </w:rPr>
        <w:t xml:space="preserve"> with correspondence address at </w:t>
      </w:r>
      <w:r w:rsidDel="00000000" w:rsidR="00000000" w:rsidRPr="00000000">
        <w:rPr>
          <w:u w:val="single"/>
          <w:rtl w:val="0"/>
        </w:rPr>
        <w:t xml:space="preserve">Unit B, 13th Floor, Alpha House, 27-33 Nathan Road, Tsim Sha Tsui, Kowloon, Hong Kong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                         (“LF”)</w:t>
      </w:r>
      <w:r w:rsidDel="00000000" w:rsidR="00000000" w:rsidRPr="00000000">
        <w:rPr>
          <w:rtl w:val="0"/>
        </w:rPr>
        <w:t xml:space="preserve"> a natural person from </w:t>
      </w:r>
      <w:r w:rsidDel="00000000" w:rsidR="00000000" w:rsidRPr="00000000">
        <w:rPr>
          <w:u w:val="single"/>
          <w:rtl w:val="0"/>
        </w:rPr>
        <w:t xml:space="preserve">USA, passport# 4</w:t>
      </w:r>
      <w:r w:rsidDel="00000000" w:rsidR="00000000" w:rsidRPr="00000000">
        <w:rPr>
          <w:u w:val="single"/>
          <w:rtl w:val="0"/>
        </w:rPr>
        <w:t xml:space="preserve"> </w:t>
      </w:r>
      <w:r w:rsidDel="00000000" w:rsidR="00000000" w:rsidRPr="00000000">
        <w:rPr>
          <w:rtl w:val="0"/>
        </w:rPr>
        <w:t xml:space="preserve"> residing at _</w:t>
      </w:r>
      <w:r w:rsidDel="00000000" w:rsidR="00000000" w:rsidRPr="00000000">
        <w:rPr>
          <w:u w:val="single"/>
          <w:rtl w:val="0"/>
        </w:rPr>
        <w:t xml:space="preserve">PO BOX ,         USA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u w:val="single"/>
          <w:rtl w:val="0"/>
        </w:rPr>
        <w:t xml:space="preserve">                      (“KN”)</w:t>
      </w:r>
      <w:r w:rsidDel="00000000" w:rsidR="00000000" w:rsidRPr="00000000">
        <w:rPr>
          <w:rtl w:val="0"/>
        </w:rPr>
        <w:t xml:space="preserve"> from </w:t>
      </w:r>
      <w:r w:rsidDel="00000000" w:rsidR="00000000" w:rsidRPr="00000000">
        <w:rPr>
          <w:u w:val="single"/>
          <w:rtl w:val="0"/>
        </w:rPr>
        <w:t xml:space="preserve">USA, passport#           </w:t>
      </w:r>
      <w:r w:rsidDel="00000000" w:rsidR="00000000" w:rsidRPr="00000000">
        <w:rPr>
          <w:rtl w:val="0"/>
        </w:rPr>
        <w:t xml:space="preserve"> residing at </w:t>
      </w:r>
      <w:r w:rsidDel="00000000" w:rsidR="00000000" w:rsidRPr="00000000">
        <w:rPr>
          <w:u w:val="single"/>
          <w:rtl w:val="0"/>
        </w:rPr>
        <w:t xml:space="preserve">S                            , Guangdong, China</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DEFINITIONS: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SQ:</w:t>
      </w:r>
      <w:r w:rsidDel="00000000" w:rsidR="00000000" w:rsidRPr="00000000">
        <w:rPr>
          <w:rtl w:val="0"/>
        </w:rPr>
        <w:t xml:space="preserve"> </w:t>
      </w:r>
      <w:r w:rsidDel="00000000" w:rsidR="00000000" w:rsidRPr="00000000">
        <w:rPr>
          <w:rtl w:val="0"/>
        </w:rPr>
        <w:t xml:space="preserve">This group will represent a new partnership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SQOLD</w:t>
      </w:r>
      <w:r w:rsidDel="00000000" w:rsidR="00000000" w:rsidRPr="00000000">
        <w:rPr>
          <w:rtl w:val="0"/>
        </w:rPr>
        <w:t xml:space="preserve">: This represents legacy parts of the old group.</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Phase 1</w:t>
      </w:r>
      <w:r w:rsidDel="00000000" w:rsidR="00000000" w:rsidRPr="00000000">
        <w:rPr>
          <w:rtl w:val="0"/>
        </w:rPr>
        <w:t xml:space="preserve">: May 12, 2016 - Nov 30, 2016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Phase 2</w:t>
      </w:r>
      <w:r w:rsidDel="00000000" w:rsidR="00000000" w:rsidRPr="00000000">
        <w:rPr>
          <w:rtl w:val="0"/>
        </w:rPr>
        <w:t xml:space="preserve">: Dec 1, 2016 - May 31, 2017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u w:val="single"/>
          <w:rtl w:val="0"/>
        </w:rPr>
        <w:t xml:space="preserve">Ongoing</w:t>
      </w:r>
      <w:r w:rsidDel="00000000" w:rsidR="00000000" w:rsidRPr="00000000">
        <w:rPr>
          <w:rtl w:val="0"/>
        </w:rPr>
        <w:t xml:space="preserve">: June 1, 2017 and beyond.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u w:val="single"/>
        </w:rPr>
      </w:pPr>
      <w:r w:rsidDel="00000000" w:rsidR="00000000" w:rsidRPr="00000000">
        <w:rPr>
          <w:rtl w:val="0"/>
        </w:rPr>
        <w:t xml:space="preserve">This agreement will be put into effect on </w:t>
      </w:r>
      <w:r w:rsidDel="00000000" w:rsidR="00000000" w:rsidRPr="00000000">
        <w:rPr>
          <w:u w:val="single"/>
          <w:rtl w:val="0"/>
        </w:rPr>
        <w:t xml:space="preserve">May 17, 2016.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pPr>
      <w:r w:rsidDel="00000000" w:rsidR="00000000" w:rsidRPr="00000000">
        <w:rPr>
          <w:rtl w:val="0"/>
        </w:rPr>
        <w:t xml:space="preserve">W I T N E S S E T 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WHEREAS, all parties desire to principally agree related to implementation of the Agreement,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highlight w:val="white"/>
        </w:rPr>
      </w:pPr>
      <w:r w:rsidDel="00000000" w:rsidR="00000000" w:rsidRPr="00000000">
        <w:rPr>
          <w:rtl w:val="0"/>
        </w:rPr>
        <w:t xml:space="preserve">NOW, THEREFORE,</w:t>
      </w:r>
      <w:r w:rsidDel="00000000" w:rsidR="00000000" w:rsidRPr="00000000">
        <w:rPr>
          <w:highlight w:val="white"/>
          <w:rtl w:val="0"/>
        </w:rPr>
        <w:t xml:space="preserve"> in consideration of the mutual understandings and agreements set forth herein, the parties hereto hereby agree as follows: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highlight w:val="white"/>
        </w:rPr>
      </w:pPr>
      <w:r w:rsidDel="00000000" w:rsidR="00000000" w:rsidRPr="00000000">
        <w:rPr>
          <w:rtl w:val="0"/>
        </w:rPr>
      </w:r>
    </w:p>
    <w:p w:rsidR="00000000" w:rsidDel="00000000" w:rsidP="00000000" w:rsidRDefault="00000000" w:rsidRPr="00000000">
      <w:pPr>
        <w:keepNext w:val="0"/>
        <w:keepLines w:val="0"/>
        <w:widowControl w:val="0"/>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The assets and IP of SQ </w:t>
      </w:r>
      <w:r w:rsidDel="00000000" w:rsidR="00000000" w:rsidRPr="00000000">
        <w:rPr>
          <w:rtl w:val="0"/>
        </w:rPr>
        <w:t xml:space="preserve">(</w:t>
      </w:r>
      <w:r w:rsidDel="00000000" w:rsidR="00000000" w:rsidRPr="00000000">
        <w:rPr>
          <w:rtl w:val="0"/>
        </w:rPr>
        <w:t xml:space="preserve">content, website, domain, user base, email list</w:t>
      </w:r>
      <w:r w:rsidDel="00000000" w:rsidR="00000000" w:rsidRPr="00000000">
        <w:rPr>
          <w:rtl w:val="0"/>
        </w:rPr>
        <w:t xml:space="preserve">)</w:t>
      </w:r>
      <w:r w:rsidDel="00000000" w:rsidR="00000000" w:rsidRPr="00000000">
        <w:rPr>
          <w:rtl w:val="0"/>
        </w:rPr>
        <w:t xml:space="preserve"> will be part of this new partnership.</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This partnership will be bound by this MOU for the next 6 months, or unless all parties agree to establish a new company earlier. </w:t>
      </w:r>
      <w:r w:rsidDel="00000000" w:rsidR="00000000" w:rsidRPr="00000000">
        <w:rPr>
          <w:rtl w:val="0"/>
        </w:rPr>
        <w:t xml:space="preserve">The jurisdiction (Hong Kong, USA) is still up for discussion. </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In the interim, MM’s company, Shadstone Limited, will receive and pay the funds on behalf of 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Roles and Responsibilities of each member will be as follows:</w:t>
      </w:r>
    </w:p>
    <w:p w:rsidR="00000000" w:rsidDel="00000000" w:rsidP="00000000" w:rsidRDefault="00000000" w:rsidRPr="00000000">
      <w:pPr>
        <w:widowControl w:val="1"/>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555"/>
        <w:gridCol w:w="3690"/>
        <w:gridCol w:w="4350"/>
        <w:gridCol w:w="2235"/>
        <w:tblGridChange w:id="0">
          <w:tblGrid>
            <w:gridCol w:w="3555"/>
            <w:gridCol w:w="3690"/>
            <w:gridCol w:w="4350"/>
            <w:gridCol w:w="223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b w:val="1"/>
                <w:rtl w:val="0"/>
              </w:rPr>
              <w:t xml:space="preserve">Department</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b w:val="1"/>
              </w:rPr>
            </w:pPr>
            <w:r w:rsidDel="00000000" w:rsidR="00000000" w:rsidRPr="00000000">
              <w:rPr>
                <w:b w:val="1"/>
                <w:rtl w:val="0"/>
              </w:rPr>
              <w:t xml:space="preserve">Owner</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HR</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MM</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Marketing</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JR</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Operations / Product</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MM</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Sales / BD</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Sales: UR </w:t>
            </w:r>
            <w:r w:rsidDel="00000000" w:rsidR="00000000" w:rsidRPr="00000000">
              <w:rPr>
                <w:rtl w:val="0"/>
              </w:rPr>
              <w:t xml:space="preserve">support by LK</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BD: MM</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Accounting</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MM</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Community / Customer Retention</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KQ Supported by KO</w:t>
            </w:r>
          </w:p>
        </w:tc>
      </w:tr>
      <w:tr>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Advisor</w:t>
            </w:r>
          </w:p>
        </w:tc>
        <w:tc>
          <w:tcPr>
            <w:shd w:fill="auto" w:val="clear"/>
            <w:tcMar>
              <w:top w:w="100.0" w:type="dxa"/>
              <w:left w:w="100.0" w:type="dxa"/>
              <w:bottom w:w="100.0" w:type="dxa"/>
              <w:right w:w="100.0" w:type="dxa"/>
            </w:tcMar>
            <w:vAlign w:val="top"/>
          </w:tcPr>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contextualSpacing w:val="0"/>
              <w:rPr/>
            </w:pPr>
            <w:r w:rsidDel="00000000" w:rsidR="00000000" w:rsidRPr="00000000">
              <w:rPr>
                <w:rtl w:val="0"/>
              </w:rPr>
              <w:t xml:space="preserve">NR</w:t>
            </w:r>
          </w:p>
        </w:tc>
      </w:tr>
    </w:tbl>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numPr>
          <w:ilvl w:val="0"/>
          <w:numId w:val="1"/>
        </w:numPr>
        <w:pBdr>
          <w:top w:space="0" w:sz="0" w:val="nil"/>
          <w:left w:space="0" w:sz="0" w:val="nil"/>
          <w:bottom w:space="0" w:sz="0" w:val="nil"/>
          <w:right w:space="0" w:sz="0" w:val="nil"/>
          <w:between w:space="0" w:sz="0" w:val="nil"/>
        </w:pBdr>
        <w:shd w:fill="auto" w:val="clear"/>
        <w:ind w:left="720" w:hanging="360"/>
        <w:contextualSpacing w:val="1"/>
        <w:rPr>
          <w:u w:val="none"/>
        </w:rPr>
      </w:pPr>
      <w:r w:rsidDel="00000000" w:rsidR="00000000" w:rsidRPr="00000000">
        <w:rPr>
          <w:rtl w:val="0"/>
        </w:rPr>
        <w:t xml:space="preserve">Breakdown of potential (not realized) equity for KPIs in </w:t>
      </w:r>
      <w:r w:rsidDel="00000000" w:rsidR="00000000" w:rsidRPr="00000000">
        <w:rPr>
          <w:rtl w:val="0"/>
        </w:rPr>
        <w:t xml:space="preserve">phase</w:t>
      </w:r>
      <w:r w:rsidDel="00000000" w:rsidR="00000000" w:rsidRPr="00000000">
        <w:rPr>
          <w:rtl w:val="0"/>
        </w:rPr>
        <w:t xml:space="preserve"> 1</w:t>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t xml:space="preserve">After the first stage, so long as all partners complete their task, this is the breakdown of shares earned pending completion of the vesting cliff. Please check section 8 below for the vesting period.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r>
    </w:p>
    <w:tbl>
      <w:tblPr>
        <w:tblStyle w:val="Table2"/>
        <w:tblW w:w="363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705"/>
        <w:gridCol w:w="1500"/>
        <w:gridCol w:w="240"/>
        <w:gridCol w:w="1185"/>
        <w:tblGridChange w:id="0">
          <w:tblGrid>
            <w:gridCol w:w="705"/>
            <w:gridCol w:w="1500"/>
            <w:gridCol w:w="240"/>
            <w:gridCol w:w="1185"/>
          </w:tblGrid>
        </w:tblGridChange>
      </w:tblGrid>
      <w:tr>
        <w:tc>
          <w:tcPr>
            <w:tcBorders>
              <w:bottom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tcBorders>
              <w:bottom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Phase 1 Total</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FQ</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LR</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2.50%</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MM</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3.50%</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NM</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92.50%</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Total</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100.0%</w:t>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left="0" w:firstLine="0"/>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Profit distribution on Phase 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For the first $25,000USD of profits, the payouts will be as follows: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3"/>
        <w:tblW w:w="300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1500"/>
        <w:gridCol w:w="1500"/>
        <w:tblGridChange w:id="0">
          <w:tblGrid>
            <w:gridCol w:w="1500"/>
            <w:gridCol w:w="1500"/>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MM</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LI</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LE</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KK</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OLDCO</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Once $25,000USD have reached, the payout will then match the equity breakdown: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4"/>
        <w:tblW w:w="300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1500"/>
        <w:gridCol w:w="1500"/>
        <w:tblGridChange w:id="0">
          <w:tblGrid>
            <w:gridCol w:w="1500"/>
            <w:gridCol w:w="1500"/>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MM</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LQ</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KU</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NR</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OLDCO</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rtl w:val="0"/>
              </w:rPr>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Once Phase 1 has been completed, NR will review KPIs and determine if all parties have successfully completed their targets. NR will determine if the share amount should be granted fully, partially, or none at all.</w:t>
      </w:r>
      <w:r w:rsidDel="00000000" w:rsidR="00000000" w:rsidRPr="00000000">
        <w:rPr>
          <w:rtl w:val="0"/>
        </w:rPr>
        <w:t xml:space="preserve">  See attachment 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Vesting Period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5"/>
        <w:tblW w:w="834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1035"/>
        <w:gridCol w:w="1125"/>
        <w:gridCol w:w="1140"/>
        <w:gridCol w:w="1080"/>
        <w:gridCol w:w="1035"/>
        <w:gridCol w:w="975"/>
        <w:gridCol w:w="975"/>
        <w:gridCol w:w="975"/>
        <w:tblGridChange w:id="0">
          <w:tblGrid>
            <w:gridCol w:w="1035"/>
            <w:gridCol w:w="1125"/>
            <w:gridCol w:w="1140"/>
            <w:gridCol w:w="1080"/>
            <w:gridCol w:w="1035"/>
            <w:gridCol w:w="975"/>
            <w:gridCol w:w="975"/>
            <w:gridCol w:w="975"/>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Phase</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Effective Date</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Grant Amount</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Total Granted</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MM Earnout</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UR</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Earnout</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NI Earnout</w:t>
            </w:r>
          </w:p>
        </w:tc>
        <w:tc>
          <w:tcPr>
            <w:tcBorders>
              <w:top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IA</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center"/>
              <w:rPr>
                <w:sz w:val="20"/>
                <w:szCs w:val="20"/>
              </w:rPr>
            </w:pPr>
            <w:r w:rsidDel="00000000" w:rsidR="00000000" w:rsidRPr="00000000">
              <w:rPr>
                <w:sz w:val="20"/>
                <w:szCs w:val="20"/>
                <w:rtl w:val="0"/>
              </w:rPr>
              <w:t xml:space="preserve"> Shares</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Phase 1</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11/30/2016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Phase 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5/31/2017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30.00%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745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6/30/2017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33.00%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132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719.5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7/30/2017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36.00%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144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694</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8/29/2017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39.00%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668.5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9/28/2017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42.00%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168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643</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10/28/2017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45.00%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112.5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617.5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11/27/2017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48.00%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192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592</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12/27/2017</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51.00%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204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566.5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1/26/2018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54.00%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216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135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541</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2/25/2018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57.00%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228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142.5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114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515.5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3/27/2018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60.00%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240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490</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4/26/2018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63.00%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464.5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5/26/2018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66.00%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264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165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132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439</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6/25/2018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69.00%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276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172.5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138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413.5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7/25/2018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72.00%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288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144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388</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8/24/2018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75.00%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362.5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9/23/2018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78.00%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312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195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337</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10/23/2018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81.00%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324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202.5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162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311.5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11/22/2018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84.00%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336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210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168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286</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12/22/2018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87.00%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348</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217.5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174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260.5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1/21/2019</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90.00%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360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235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2/20/2019</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93.00%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372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232.5</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186</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209.5</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3/22/2019</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96.00%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384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240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192</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184</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Ongoing</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4/21/2019</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100.00%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400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250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200</w:t>
            </w:r>
          </w:p>
        </w:tc>
        <w:tc>
          <w:tcPr>
            <w:tcBorders>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sz w:val="20"/>
                <w:szCs w:val="20"/>
              </w:rPr>
            </w:pPr>
            <w:r w:rsidDel="00000000" w:rsidR="00000000" w:rsidRPr="00000000">
              <w:rPr>
                <w:sz w:val="20"/>
                <w:szCs w:val="20"/>
                <w:rtl w:val="0"/>
              </w:rPr>
              <w:t xml:space="preserve">150</w:t>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Vesting Cliff - All new equity holders will be subject to a 1 year vesting cliff which expires May 17th, 2017.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Stage 2 will have new shares issued in order to incentivize all partners to continue to contribute value and build long term equity for the partnership.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ind w:firstLine="720"/>
        <w:contextualSpacing w:val="0"/>
        <w:rPr/>
      </w:pPr>
      <w:r w:rsidDel="00000000" w:rsidR="00000000" w:rsidRPr="00000000">
        <w:rPr>
          <w:rtl w:val="0"/>
        </w:rPr>
        <w:t xml:space="preserve">A list of the possible items that can be used to determine the new share grants include but are not limited to:</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6"/>
        <w:tblW w:w="9360.0" w:type="dxa"/>
        <w:jc w:val="left"/>
        <w:tblInd w:w="40.0" w:type="pc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4530"/>
        <w:gridCol w:w="4830"/>
        <w:tblGridChange w:id="0">
          <w:tblGrid>
            <w:gridCol w:w="4530"/>
            <w:gridCol w:w="4830"/>
          </w:tblGrid>
        </w:tblGridChange>
      </w:tblGrid>
      <w:tr>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Increase sales by X % from end of Phase 1</w:t>
            </w:r>
          </w:p>
        </w:tc>
        <w:tc>
          <w:tcPr>
            <w:tcBorders>
              <w:top w:color="000000"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Increase strategic alliances by X</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Public Webinar launches bring __</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Optimizing Sales Funnel By X</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Adding Videos and Content by X</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Build more SOP + maintain current</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Maintaining Web</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Maintain management of team</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Keep churn rate below ___ %,</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Onboard 2 assistants virtual</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Setup bookkeeping system</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Implement new company setup</w:t>
            </w:r>
          </w:p>
        </w:tc>
        <w:tc>
          <w:tcPr>
            <w:tcBorders>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rtl w:val="0"/>
              </w:rPr>
              <w:t xml:space="preserve">Amount of new shares to be determined, if applicable</w:t>
            </w:r>
          </w:p>
        </w:tc>
      </w:tr>
      <w:tr>
        <w:tc>
          <w:tcPr>
            <w:tcBorders>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rPr>
            </w:pPr>
            <w:r w:rsidDel="00000000" w:rsidR="00000000" w:rsidRPr="00000000">
              <w:rPr>
                <w:sz w:val="20"/>
                <w:szCs w:val="20"/>
                <w:highlight w:val="white"/>
                <w:rtl w:val="0"/>
              </w:rPr>
              <w:t xml:space="preserve">Being supportive advisor</w:t>
            </w:r>
            <w:r w:rsidDel="00000000" w:rsidR="00000000" w:rsidRPr="00000000">
              <w:rPr>
                <w:rtl w:val="0"/>
              </w:rPr>
            </w:r>
          </w:p>
        </w:tc>
        <w:tc>
          <w:tcPr>
            <w:tcBorders>
              <w:bottom w:color="000000" w:space="0" w:sz="6" w:val="single"/>
              <w:right w:color="000000" w:space="0" w:sz="6" w:val="single"/>
            </w:tcBorders>
            <w:shd w:fill="ffffff" w:val="clear"/>
            <w:tcMar>
              <w:top w:w="40.0" w:type="dxa"/>
              <w:left w:w="40.0" w:type="dxa"/>
              <w:bottom w:w="40.0" w:type="dxa"/>
              <w:right w:w="40.0" w:type="dxa"/>
            </w:tcMar>
            <w:vAlign w:val="bottom"/>
          </w:tcPr>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sz w:val="20"/>
                <w:szCs w:val="20"/>
                <w:highlight w:val="white"/>
              </w:rPr>
            </w:pPr>
            <w:r w:rsidDel="00000000" w:rsidR="00000000" w:rsidRPr="00000000">
              <w:rPr>
                <w:sz w:val="20"/>
                <w:szCs w:val="20"/>
                <w:rtl w:val="0"/>
              </w:rPr>
              <w:t xml:space="preserve">Amount of new shares to be determined, if applicable</w:t>
            </w:r>
            <w:r w:rsidDel="00000000" w:rsidR="00000000" w:rsidRPr="00000000">
              <w:rPr>
                <w:rtl w:val="0"/>
              </w:rPr>
            </w:r>
          </w:p>
        </w:tc>
      </w:tr>
    </w:tbl>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The Group will determine the best KPIs to execute for Stage 2 after Stage 1 is completed.</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Buy / Sell Clause - if a partner wants to sell their shares, they must give 30 day written notice. The valuation will be based on 50% of the last 12 months The current partners will have first access to purchase existing shares.  Moreover, current partners will decide whether or not buyer is acceptable to join on as an equity holder.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Termination - If one of the members does not complete their KPI and is asked by NR or MM about the status, they have</w:t>
      </w:r>
      <w:r w:rsidDel="00000000" w:rsidR="00000000" w:rsidRPr="00000000">
        <w:rPr>
          <w:rtl w:val="0"/>
        </w:rPr>
        <w:t xml:space="preserve"> 48 hours to reply with a full statement</w:t>
      </w:r>
      <w:r w:rsidDel="00000000" w:rsidR="00000000" w:rsidRPr="00000000">
        <w:rPr>
          <w:rtl w:val="0"/>
        </w:rPr>
        <w:t xml:space="preserve"> as to why and what they are going to do to resolve this. </w:t>
      </w:r>
      <w:r w:rsidDel="00000000" w:rsidR="00000000" w:rsidRPr="00000000">
        <w:rPr>
          <w:rtl w:val="0"/>
        </w:rPr>
        <w:t xml:space="preserve">Personal emergencies and natural disasters will be acceptable. If after 48 hours, there has been no attempt to respond, they will receive a strike in writing by email. If they reach 3 strikes, then this member will forfeit their shares if no reasonable cause</w:t>
      </w:r>
      <w:r w:rsidDel="00000000" w:rsidR="00000000" w:rsidRPr="00000000">
        <w:rPr>
          <w:rtl w:val="0"/>
        </w:rPr>
        <w:t xml:space="preserve">. This is done in an effort to ensure all members are contributing to the success of this new partnership.</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tl w:val="0"/>
        </w:rPr>
        <w:t xml:space="preserve">All issues, questions and disputes concerning the validity, interpretation, enforcement, performance and termination of this Agreement shall be governed by and construed in accordance with Hong Kong law, and no effect shall be given to any other choice-of-law or conflict-of-laws rules or provisions (Hong Kong, foreign or international), that would cause the laws of any other jurisdiction to be applicable. All disputes concerning the validity, interpretation, enforcement, performance and termination of this Agreement shall be submitted to the exclusive jurisdiction of the Hong Kong courts.</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IN WITNESS WHEREOF, the parties hereto have caused this Agreement to be executed by their respective Authorized Representative(s) as of the day and year first above written.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4005"/>
        <w:gridCol w:w="3120"/>
        <w:tblGridChange w:id="0">
          <w:tblGrid>
            <w:gridCol w:w="2235"/>
            <w:gridCol w:w="4005"/>
            <w:gridCol w:w="3120"/>
          </w:tblGrid>
        </w:tblGridChange>
      </w:tblGrid>
      <w:tr>
        <w:trPr>
          <w:trHeight w:val="36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Signed</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Date</w:t>
            </w:r>
          </w:p>
        </w:tc>
      </w:tr>
      <w:tr>
        <w:trPr>
          <w:trHeight w:val="50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Michael Michelini</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rPr>
          <w:trHeight w:val="380" w:hRule="atLeast"/>
        </w:trP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pPr>
            <w:r w:rsidDel="00000000" w:rsidR="00000000" w:rsidRPr="00000000">
              <w:rPr>
                <w:rtl w:val="0"/>
              </w:rPr>
            </w:r>
          </w:p>
        </w:tc>
      </w:tr>
    </w:tbl>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br w:type="page"/>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Attachment 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KPI Document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sectPr>
      <w:footerReference r:id="rId6"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i w:val="1"/>
      </w:rPr>
    </w:pPr>
    <w:r w:rsidDel="00000000" w:rsidR="00000000" w:rsidRPr="00000000">
      <w:rPr>
        <w:b w:val="1"/>
        <w:i w:val="1"/>
        <w:rtl w:val="0"/>
      </w:rPr>
      <w:t xml:space="preserve">________________________________________________________________________</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rPr>
        <w:b w:val="1"/>
        <w:i w:val="1"/>
      </w:rPr>
    </w:pPr>
    <w:r w:rsidDel="00000000" w:rsidR="00000000" w:rsidRPr="00000000">
      <w:rPr>
        <w:b w:val="1"/>
        <w:i w:val="1"/>
        <w:rtl w:val="0"/>
      </w:rPr>
      <w:t xml:space="preserve">CONFIDENTIAL</w:t>
      <w:tab/>
      <w:tab/>
      <w:tab/>
      <w:tab/>
      <w:tab/>
      <w:tab/>
      <w:tab/>
      <w:t xml:space="preserve">PAGE </w:t>
    </w:r>
    <w:r w:rsidDel="00000000" w:rsidR="00000000" w:rsidRPr="00000000">
      <w:rPr>
        <w:b w:val="1"/>
        <w:i w:val="1"/>
      </w:rPr>
      <w:fldChar w:fldCharType="begin"/>
      <w:instrText xml:space="preserve">PAGE</w:instrText>
      <w:fldChar w:fldCharType="separate"/>
      <w:fldChar w:fldCharType="end"/>
    </w:r>
    <w:r w:rsidDel="00000000" w:rsidR="00000000" w:rsidRPr="00000000">
      <w:rPr>
        <w:b w:val="1"/>
        <w:i w:val="1"/>
        <w:rtl w:val="0"/>
      </w:rPr>
      <w:t xml:space="preserve"> / </w:t>
    </w:r>
    <w:r w:rsidDel="00000000" w:rsidR="00000000" w:rsidRPr="00000000">
      <w:rPr>
        <w:b w:val="1"/>
        <w:i w:val="1"/>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0"/>
      <w:spacing w:after="120" w:before="480" w:lineRule="auto"/>
      <w:contextualSpacing w:val="1"/>
    </w:pPr>
    <w:rPr>
      <w:b w:val="1"/>
      <w:sz w:val="36"/>
      <w:szCs w:val="36"/>
    </w:rPr>
  </w:style>
  <w:style w:type="paragraph" w:styleId="Heading2">
    <w:name w:val="heading 2"/>
    <w:basedOn w:val="Normal"/>
    <w:next w:val="Normal"/>
    <w:pPr>
      <w:keepNext w:val="0"/>
      <w:keepLines w:val="0"/>
      <w:widowControl w:val="0"/>
      <w:spacing w:after="80" w:before="360" w:lineRule="auto"/>
      <w:contextualSpacing w:val="1"/>
    </w:pPr>
    <w:rPr>
      <w:b w:val="1"/>
      <w:sz w:val="28"/>
      <w:szCs w:val="28"/>
    </w:rPr>
  </w:style>
  <w:style w:type="paragraph" w:styleId="Heading3">
    <w:name w:val="heading 3"/>
    <w:basedOn w:val="Normal"/>
    <w:next w:val="Normal"/>
    <w:pPr>
      <w:keepNext w:val="0"/>
      <w:keepLines w:val="0"/>
      <w:widowControl w:val="0"/>
      <w:spacing w:after="80" w:before="280" w:lineRule="auto"/>
      <w:contextualSpacing w:val="1"/>
    </w:pPr>
    <w:rPr>
      <w:b w:val="1"/>
      <w:color w:val="666666"/>
      <w:sz w:val="24"/>
      <w:szCs w:val="24"/>
    </w:rPr>
  </w:style>
  <w:style w:type="paragraph" w:styleId="Heading4">
    <w:name w:val="heading 4"/>
    <w:basedOn w:val="Normal"/>
    <w:next w:val="Normal"/>
    <w:pPr>
      <w:keepNext w:val="0"/>
      <w:keepLines w:val="0"/>
      <w:widowControl w:val="0"/>
      <w:spacing w:after="40" w:before="240" w:lineRule="auto"/>
      <w:contextualSpacing w:val="1"/>
    </w:pPr>
    <w:rPr>
      <w:i w:val="1"/>
      <w:color w:val="666666"/>
      <w:sz w:val="22"/>
      <w:szCs w:val="22"/>
    </w:rPr>
  </w:style>
  <w:style w:type="paragraph" w:styleId="Heading5">
    <w:name w:val="heading 5"/>
    <w:basedOn w:val="Normal"/>
    <w:next w:val="Normal"/>
    <w:pPr>
      <w:keepNext w:val="0"/>
      <w:keepLines w:val="0"/>
      <w:widowControl w:val="0"/>
      <w:spacing w:after="40" w:before="220" w:lineRule="auto"/>
      <w:contextualSpacing w:val="1"/>
    </w:pPr>
    <w:rPr>
      <w:b w:val="1"/>
      <w:color w:val="666666"/>
      <w:sz w:val="20"/>
      <w:szCs w:val="20"/>
    </w:rPr>
  </w:style>
  <w:style w:type="paragraph" w:styleId="Heading6">
    <w:name w:val="heading 6"/>
    <w:basedOn w:val="Normal"/>
    <w:next w:val="Normal"/>
    <w:pPr>
      <w:keepNext w:val="0"/>
      <w:keepLines w:val="0"/>
      <w:widowControl w:val="0"/>
      <w:spacing w:after="40" w:before="200" w:lineRule="auto"/>
      <w:contextualSpacing w:val="1"/>
    </w:pPr>
    <w:rPr>
      <w:i w:val="1"/>
      <w:color w:val="666666"/>
      <w:sz w:val="20"/>
      <w:szCs w:val="20"/>
    </w:rPr>
  </w:style>
  <w:style w:type="paragraph" w:styleId="Title">
    <w:name w:val="Title"/>
    <w:basedOn w:val="Normal"/>
    <w:next w:val="Normal"/>
    <w:pPr>
      <w:keepNext w:val="0"/>
      <w:keepLines w:val="0"/>
      <w:widowControl w:val="0"/>
      <w:spacing w:after="120" w:before="480" w:lineRule="auto"/>
      <w:contextualSpacing w:val="1"/>
    </w:pPr>
    <w:rPr>
      <w:b w:val="1"/>
      <w:sz w:val="72"/>
      <w:szCs w:val="72"/>
    </w:rPr>
  </w:style>
  <w:style w:type="paragraph" w:styleId="Subtitle">
    <w:name w:val="Subtitle"/>
    <w:basedOn w:val="Normal"/>
    <w:next w:val="Normal"/>
    <w:pPr>
      <w:keepNext w:val="0"/>
      <w:keepLines w:val="0"/>
      <w:widowControl w:val="0"/>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